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2D1" w:rsidRPr="00537A21" w:rsidRDefault="00537A21">
      <w:pPr>
        <w:spacing w:after="103"/>
        <w:ind w:left="0" w:firstLine="0"/>
        <w:rPr>
          <w:szCs w:val="24"/>
        </w:rPr>
      </w:pPr>
      <w:r w:rsidRPr="00537A21">
        <w:rPr>
          <w:rFonts w:ascii="Times New Roman" w:eastAsia="Times New Roman" w:hAnsi="Times New Roman" w:cs="Times New Roman"/>
          <w:b/>
          <w:szCs w:val="24"/>
        </w:rPr>
        <w:t>Obrazloženje općeg dijela o izvršenju financijskog plana O.Š. Bogumila Tonija</w:t>
      </w:r>
    </w:p>
    <w:p w:rsidR="003042D1" w:rsidRPr="00537A21" w:rsidRDefault="00C20769">
      <w:pPr>
        <w:pStyle w:val="Naslov1"/>
        <w:rPr>
          <w:sz w:val="22"/>
        </w:rPr>
      </w:pPr>
      <w:r w:rsidRPr="00537A21">
        <w:rPr>
          <w:sz w:val="22"/>
        </w:rPr>
        <w:t xml:space="preserve">   </w:t>
      </w:r>
      <w:r w:rsidR="00537A21">
        <w:rPr>
          <w:sz w:val="22"/>
        </w:rPr>
        <w:t xml:space="preserve">           </w:t>
      </w:r>
      <w:r w:rsidRPr="00537A21">
        <w:rPr>
          <w:sz w:val="22"/>
        </w:rPr>
        <w:t xml:space="preserve">  Obrazloženje ostvarenja prihoda i primitaka te rashoda i izdataka </w:t>
      </w:r>
    </w:p>
    <w:p w:rsidR="003042D1" w:rsidRDefault="00C20769">
      <w:pPr>
        <w:spacing w:after="23"/>
        <w:ind w:left="0" w:firstLine="0"/>
      </w:pPr>
      <w:r>
        <w:rPr>
          <w:rFonts w:ascii="Times New Roman" w:eastAsia="Times New Roman" w:hAnsi="Times New Roman" w:cs="Times New Roman"/>
          <w:b/>
          <w:sz w:val="28"/>
        </w:rPr>
        <w:t xml:space="preserve"> </w:t>
      </w:r>
    </w:p>
    <w:p w:rsidR="003042D1" w:rsidRDefault="00C20769">
      <w:pPr>
        <w:pStyle w:val="Naslov2"/>
        <w:ind w:left="2091" w:right="2390"/>
      </w:pPr>
      <w:r>
        <w:t>1.</w:t>
      </w:r>
      <w:r>
        <w:rPr>
          <w:rFonts w:ascii="Arial" w:eastAsia="Arial" w:hAnsi="Arial" w:cs="Arial"/>
        </w:rPr>
        <w:t xml:space="preserve"> </w:t>
      </w:r>
      <w:r>
        <w:t xml:space="preserve">PRIHODI I PRIMICI  </w:t>
      </w:r>
    </w:p>
    <w:p w:rsidR="003042D1" w:rsidRPr="00FA2F89" w:rsidRDefault="00C20769">
      <w:pPr>
        <w:spacing w:after="200" w:line="299" w:lineRule="auto"/>
        <w:ind w:left="0" w:firstLine="0"/>
        <w:jc w:val="center"/>
        <w:rPr>
          <w:b/>
        </w:rPr>
      </w:pPr>
      <w:r>
        <w:t xml:space="preserve">Planirano je ostvarenje tekućih prihoda i primitaka proračunskog korisnika  O.Š. B. Tonija za 2023.g. u ukupnom iznosu od </w:t>
      </w:r>
      <w:r w:rsidR="0022518E">
        <w:rPr>
          <w:b/>
        </w:rPr>
        <w:t>4.477.654,81</w:t>
      </w:r>
      <w:r>
        <w:rPr>
          <w:b/>
        </w:rPr>
        <w:t xml:space="preserve"> </w:t>
      </w:r>
      <w:r w:rsidR="00FA2F89">
        <w:rPr>
          <w:b/>
        </w:rPr>
        <w:t xml:space="preserve">eura </w:t>
      </w:r>
      <w:r>
        <w:t xml:space="preserve"> </w:t>
      </w:r>
      <w:r w:rsidR="0022518E">
        <w:t xml:space="preserve">a izvršenje je </w:t>
      </w:r>
      <w:r w:rsidR="0022518E" w:rsidRPr="0022518E">
        <w:rPr>
          <w:b/>
        </w:rPr>
        <w:t>3.930.626,57 €.</w:t>
      </w:r>
    </w:p>
    <w:p w:rsidR="003042D1" w:rsidRDefault="007C2CED" w:rsidP="007C2CED">
      <w:pPr>
        <w:pStyle w:val="Naslov3"/>
        <w:tabs>
          <w:tab w:val="left" w:pos="2655"/>
          <w:tab w:val="center" w:pos="5532"/>
        </w:tabs>
        <w:ind w:left="2091" w:right="77"/>
        <w:jc w:val="left"/>
      </w:pPr>
      <w:r>
        <w:tab/>
      </w:r>
      <w:r>
        <w:tab/>
        <w:t xml:space="preserve">     </w:t>
      </w:r>
      <w:r w:rsidR="00C20769">
        <w:t>1.1</w:t>
      </w:r>
      <w:r w:rsidR="00C20769">
        <w:rPr>
          <w:rFonts w:ascii="Arial" w:eastAsia="Arial" w:hAnsi="Arial" w:cs="Arial"/>
        </w:rPr>
        <w:t xml:space="preserve"> </w:t>
      </w:r>
      <w:r w:rsidR="00C20769">
        <w:t xml:space="preserve">Prihodi poslovanja </w:t>
      </w:r>
    </w:p>
    <w:p w:rsidR="003042D1" w:rsidRDefault="00C20769">
      <w:pPr>
        <w:ind w:left="-5"/>
      </w:pPr>
      <w:r>
        <w:t xml:space="preserve">Prihodi poslovanja (razred 6  - prihodi od poreza , pomoći iz inozemstva i od subjekata unutar općeg proračuna, prihodi od imovine, prihodi od upravnih i administrativnih pristojbi, pristojbe po posebnim propisima i naknada, prihodi od pruženih usluga i prihodi od donacija te ostali prihodi) planirano je ostvarenje u iznosu od </w:t>
      </w:r>
      <w:r w:rsidR="0022518E">
        <w:rPr>
          <w:b/>
        </w:rPr>
        <w:t>4.477.654,81</w:t>
      </w:r>
      <w:r w:rsidR="001E2471">
        <w:rPr>
          <w:b/>
        </w:rPr>
        <w:t xml:space="preserve"> €</w:t>
      </w:r>
      <w:r w:rsidR="0022518E">
        <w:rPr>
          <w:b/>
        </w:rPr>
        <w:t xml:space="preserve"> </w:t>
      </w:r>
      <w:r w:rsidR="001E2471">
        <w:rPr>
          <w:b/>
        </w:rPr>
        <w:t xml:space="preserve"> </w:t>
      </w:r>
      <w:r w:rsidR="001E2471">
        <w:t xml:space="preserve">a izvršenje je </w:t>
      </w:r>
      <w:r w:rsidR="001E2471" w:rsidRPr="001E2471">
        <w:rPr>
          <w:b/>
        </w:rPr>
        <w:t>3.930.626,57 €</w:t>
      </w:r>
      <w:r w:rsidR="001E2471">
        <w:t>.</w:t>
      </w:r>
      <w:r w:rsidR="001E2471">
        <w:rPr>
          <w:b/>
        </w:rPr>
        <w:t xml:space="preserve"> </w:t>
      </w:r>
      <w:r>
        <w:t xml:space="preserve">Prihodi na razredu  6 odnose se na sljedeće skupine i izvore: </w:t>
      </w:r>
    </w:p>
    <w:p w:rsidR="003042D1" w:rsidRDefault="00C20769">
      <w:pPr>
        <w:pStyle w:val="Naslov2"/>
        <w:ind w:left="2091" w:right="2392"/>
      </w:pPr>
      <w:r>
        <w:t>2.</w:t>
      </w:r>
      <w:r>
        <w:rPr>
          <w:rFonts w:ascii="Arial" w:eastAsia="Arial" w:hAnsi="Arial" w:cs="Arial"/>
        </w:rPr>
        <w:t xml:space="preserve"> </w:t>
      </w:r>
      <w:r>
        <w:t xml:space="preserve"> RASHODI I IZDACI </w:t>
      </w:r>
    </w:p>
    <w:p w:rsidR="003042D1" w:rsidRPr="001E2471" w:rsidRDefault="00C20769" w:rsidP="001E2471">
      <w:pPr>
        <w:spacing w:after="248"/>
        <w:ind w:left="-5"/>
        <w:jc w:val="center"/>
        <w:rPr>
          <w:b/>
        </w:rPr>
      </w:pPr>
      <w:r>
        <w:t xml:space="preserve">Planirani su rashodi i izdaci O.Š. B. Tonija za 2023. g. u ukupnom iznosu od </w:t>
      </w:r>
      <w:r w:rsidR="001E2471" w:rsidRPr="001E2471">
        <w:rPr>
          <w:b/>
        </w:rPr>
        <w:t>4.465.494,00 €</w:t>
      </w:r>
      <w:r w:rsidR="007B0642" w:rsidRPr="007B0642">
        <w:t xml:space="preserve"> </w:t>
      </w:r>
      <w:r w:rsidR="001E2471">
        <w:t xml:space="preserve">, a izvršenje rashoda je </w:t>
      </w:r>
      <w:r w:rsidR="001E2471" w:rsidRPr="001E2471">
        <w:rPr>
          <w:b/>
        </w:rPr>
        <w:t>3.901.748,24 €</w:t>
      </w:r>
    </w:p>
    <w:p w:rsidR="00E078AC" w:rsidRDefault="00E078AC" w:rsidP="00E078AC"/>
    <w:p w:rsidR="00E078AC" w:rsidRPr="00A91609" w:rsidRDefault="00E078AC" w:rsidP="00E078AC">
      <w:pPr>
        <w:rPr>
          <w:b/>
        </w:rPr>
      </w:pPr>
      <w:r w:rsidRPr="00A91609">
        <w:rPr>
          <w:b/>
        </w:rPr>
        <w:t>Skupina 92</w:t>
      </w:r>
      <w:r w:rsidR="00390364">
        <w:rPr>
          <w:b/>
        </w:rPr>
        <w:t>- obrazloženje korištenja  - trošenja prenesenog viška iz prethodne 2022.g.u 2023.g.</w:t>
      </w:r>
    </w:p>
    <w:p w:rsidR="00536271" w:rsidRDefault="00E078AC" w:rsidP="00CA328E">
      <w:pPr>
        <w:spacing w:after="209"/>
        <w:ind w:left="0" w:firstLine="0"/>
        <w:rPr>
          <w:color w:val="C00000"/>
          <w:highlight w:val="green"/>
        </w:rPr>
      </w:pPr>
      <w:r>
        <w:t xml:space="preserve">Planirano je ostvarenje  viška  prihoda od Županije Zagrebačke , HŠŠS te od roditelja za školsku kuhinju i p. boravak ( skupina 92) u iznosu od </w:t>
      </w:r>
      <w:r w:rsidR="00CA328E">
        <w:t xml:space="preserve"> </w:t>
      </w:r>
      <w:r w:rsidR="00CA328E" w:rsidRPr="00CA328E">
        <w:rPr>
          <w:highlight w:val="green"/>
        </w:rPr>
        <w:t>-</w:t>
      </w:r>
      <w:r w:rsidR="00CA328E" w:rsidRPr="00CA328E">
        <w:rPr>
          <w:color w:val="C00000"/>
          <w:highlight w:val="green"/>
        </w:rPr>
        <w:t>12.160,</w:t>
      </w:r>
      <w:r w:rsidR="00317D86">
        <w:rPr>
          <w:color w:val="C00000"/>
          <w:highlight w:val="green"/>
        </w:rPr>
        <w:t>50</w:t>
      </w:r>
      <w:r w:rsidR="00CA328E" w:rsidRPr="00CA328E">
        <w:rPr>
          <w:color w:val="C00000"/>
          <w:highlight w:val="green"/>
        </w:rPr>
        <w:t xml:space="preserve"> eur</w:t>
      </w:r>
      <w:r w:rsidR="00D81605">
        <w:rPr>
          <w:color w:val="C00000"/>
          <w:highlight w:val="green"/>
        </w:rPr>
        <w:t>a</w:t>
      </w:r>
      <w:r w:rsidR="00536271">
        <w:rPr>
          <w:color w:val="C00000"/>
          <w:highlight w:val="green"/>
        </w:rPr>
        <w:t>.</w:t>
      </w:r>
    </w:p>
    <w:p w:rsidR="00BA6854" w:rsidRDefault="00BA6854" w:rsidP="00BA6854">
      <w:pPr>
        <w:spacing w:after="299" w:line="221" w:lineRule="auto"/>
        <w:ind w:left="326" w:right="67" w:firstLine="0"/>
        <w:jc w:val="both"/>
      </w:pPr>
      <w:r w:rsidRPr="00BA6854">
        <w:t>Manjak prihoda u iznosu od 20.960,81 eura koji se odnosi na nepodmirene obveze iz izvora financiranja Grada Samobora pokriven je ostvarenjem prihoda od nadležnog proračuna tijekom 2023. godine (podmirenjem obveza prema dobavljačima od strane Grada Samobora).</w:t>
      </w:r>
    </w:p>
    <w:p w:rsidR="007A3904" w:rsidRPr="007A3904" w:rsidRDefault="007A3904" w:rsidP="007A3904">
      <w:pPr>
        <w:spacing w:after="10" w:line="247" w:lineRule="auto"/>
        <w:ind w:left="389" w:right="48" w:firstLine="614"/>
      </w:pPr>
      <w:r>
        <w:t>N</w:t>
      </w:r>
      <w:r w:rsidRPr="007A3904">
        <w:t>amjenski</w:t>
      </w:r>
      <w:r w:rsidRPr="007A3904">
        <w:t xml:space="preserve"> viškov</w:t>
      </w:r>
      <w:r>
        <w:t>i</w:t>
      </w:r>
      <w:r w:rsidRPr="007A3904">
        <w:t xml:space="preserve"> u ukupnom iznosu od 8.800,31 eura </w:t>
      </w:r>
      <w:r>
        <w:t xml:space="preserve">planirano je </w:t>
      </w:r>
      <w:r w:rsidRPr="007A3904">
        <w:t xml:space="preserve"> kako slijedi:</w:t>
      </w:r>
    </w:p>
    <w:p w:rsidR="007A3904" w:rsidRDefault="007A3904" w:rsidP="007A3904">
      <w:pPr>
        <w:spacing w:after="10" w:line="247" w:lineRule="auto"/>
        <w:ind w:left="360" w:right="293" w:firstLine="0"/>
      </w:pPr>
      <w:r w:rsidRPr="007A3904">
        <w:t>višak prihoda od pomoći u ukupnom iznosu od 4.351,51 eura</w:t>
      </w:r>
    </w:p>
    <w:p w:rsidR="007A3904" w:rsidRPr="007A3904" w:rsidRDefault="007A3904" w:rsidP="007A3904">
      <w:pPr>
        <w:spacing w:after="0" w:line="221" w:lineRule="auto"/>
        <w:ind w:left="360" w:right="504" w:firstLine="0"/>
        <w:jc w:val="both"/>
      </w:pPr>
      <w:r>
        <w:t>v</w:t>
      </w:r>
      <w:r w:rsidRPr="007A3904">
        <w:t xml:space="preserve">išak prihoda od donacija u ukupnom iznosu od 4.448,80 eura </w:t>
      </w:r>
    </w:p>
    <w:p w:rsidR="007A3904" w:rsidRPr="007A3904" w:rsidRDefault="007A3904" w:rsidP="007A3904">
      <w:pPr>
        <w:numPr>
          <w:ilvl w:val="0"/>
          <w:numId w:val="5"/>
        </w:numPr>
        <w:spacing w:after="10" w:line="247" w:lineRule="auto"/>
        <w:ind w:right="48"/>
      </w:pPr>
      <w:r w:rsidRPr="007A3904">
        <w:t>Višak prihoda iz posebnih namjena u iznosu od 599,91 eura utroš</w:t>
      </w:r>
      <w:r>
        <w:t>en</w:t>
      </w:r>
      <w:r w:rsidRPr="007A3904">
        <w:t xml:space="preserve"> </w:t>
      </w:r>
      <w:r>
        <w:t>je</w:t>
      </w:r>
      <w:r w:rsidRPr="007A3904">
        <w:t xml:space="preserve"> za sufinanciranje terenske nastave.</w:t>
      </w:r>
    </w:p>
    <w:p w:rsidR="007A3904" w:rsidRPr="007A3904" w:rsidRDefault="007A3904" w:rsidP="007A3904">
      <w:pPr>
        <w:numPr>
          <w:ilvl w:val="0"/>
          <w:numId w:val="5"/>
        </w:numPr>
        <w:spacing w:after="10" w:line="247" w:lineRule="auto"/>
        <w:ind w:right="48"/>
      </w:pPr>
      <w:r w:rsidRPr="007A3904">
        <w:t>Višak prihoda od pomoći u iznosu od 137,09 eura  utroš</w:t>
      </w:r>
      <w:r>
        <w:t>en je</w:t>
      </w:r>
      <w:r w:rsidRPr="007A3904">
        <w:t xml:space="preserve"> za nabavu materijala za nastavu za djecu iz Ukrajine, sukladno predviđenoj namjeni.</w:t>
      </w:r>
    </w:p>
    <w:p w:rsidR="007A3904" w:rsidRPr="007A3904" w:rsidRDefault="007A3904" w:rsidP="007A3904">
      <w:pPr>
        <w:numPr>
          <w:ilvl w:val="0"/>
          <w:numId w:val="5"/>
        </w:numPr>
        <w:spacing w:after="10" w:line="247" w:lineRule="auto"/>
        <w:ind w:right="48"/>
      </w:pPr>
      <w:r w:rsidRPr="007A3904">
        <w:t>Višak prihoda od pomoći u iznosu od 1.327,23 eura utro</w:t>
      </w:r>
      <w:r>
        <w:t>šen je</w:t>
      </w:r>
      <w:r w:rsidRPr="007A3904">
        <w:t xml:space="preserve"> za nabavu opreme za potrebne izvannastavne aktivnosti ( astronomija )sukladno predviđenoj namjeni.</w:t>
      </w:r>
    </w:p>
    <w:p w:rsidR="007A3904" w:rsidRPr="007A3904" w:rsidRDefault="007A3904" w:rsidP="007A3904">
      <w:pPr>
        <w:numPr>
          <w:ilvl w:val="0"/>
          <w:numId w:val="5"/>
        </w:numPr>
        <w:spacing w:after="10" w:line="247" w:lineRule="auto"/>
        <w:ind w:right="48"/>
      </w:pPr>
      <w:r w:rsidRPr="007A3904">
        <w:t>Višak prihoda od pomoći u iznosu od 1.190,71 eura  utroš</w:t>
      </w:r>
      <w:r>
        <w:t xml:space="preserve">en je </w:t>
      </w:r>
      <w:r w:rsidRPr="007A3904">
        <w:t>za rashode za darovitu djecu, sukladno iskazanim potrebama.</w:t>
      </w:r>
    </w:p>
    <w:p w:rsidR="007A3904" w:rsidRPr="007A3904" w:rsidRDefault="007A3904" w:rsidP="007A3904">
      <w:pPr>
        <w:numPr>
          <w:ilvl w:val="0"/>
          <w:numId w:val="5"/>
        </w:numPr>
        <w:spacing w:after="10" w:line="247" w:lineRule="auto"/>
        <w:ind w:right="48"/>
      </w:pPr>
      <w:r w:rsidRPr="007A3904">
        <w:lastRenderedPageBreak/>
        <w:t>Višak prihoda od pomoći u iznosu od 991,03 eura utroš</w:t>
      </w:r>
      <w:r>
        <w:t>en je</w:t>
      </w:r>
      <w:r w:rsidRPr="007A3904">
        <w:t xml:space="preserve"> za rashode Županijskih stručnih vijeća, sukladno iskazanim potrebama.</w:t>
      </w:r>
    </w:p>
    <w:p w:rsidR="007A3904" w:rsidRPr="007A3904" w:rsidRDefault="007A3904" w:rsidP="007A3904">
      <w:pPr>
        <w:numPr>
          <w:ilvl w:val="0"/>
          <w:numId w:val="5"/>
        </w:numPr>
        <w:spacing w:after="10" w:line="247" w:lineRule="auto"/>
        <w:ind w:right="48"/>
      </w:pPr>
      <w:r w:rsidRPr="007A3904">
        <w:t>Višak prihoda od pomoći u iznosu od 105,54 eura od ministarstva za sudske presude utroš</w:t>
      </w:r>
      <w:r w:rsidR="00CD5B62">
        <w:t xml:space="preserve">en je </w:t>
      </w:r>
      <w:r w:rsidRPr="007A3904">
        <w:t xml:space="preserve"> u 2023. g. za preostale sudske presude.</w:t>
      </w:r>
    </w:p>
    <w:p w:rsidR="007A3904" w:rsidRPr="007A3904" w:rsidRDefault="007A3904" w:rsidP="007A3904">
      <w:pPr>
        <w:numPr>
          <w:ilvl w:val="0"/>
          <w:numId w:val="5"/>
        </w:numPr>
        <w:spacing w:after="10" w:line="247" w:lineRule="auto"/>
        <w:ind w:right="48"/>
      </w:pPr>
      <w:r w:rsidRPr="007A3904">
        <w:t>Višak prihoda od donacija u iznosu od 425,51 eura utroš</w:t>
      </w:r>
      <w:r w:rsidR="00CD5B62">
        <w:t>en je</w:t>
      </w:r>
      <w:r w:rsidRPr="007A3904">
        <w:t xml:space="preserve"> za rashod prijevoza na terensku nastavu učenika sukladno iskazanim potrebama.</w:t>
      </w:r>
    </w:p>
    <w:p w:rsidR="007A3904" w:rsidRPr="007A3904" w:rsidRDefault="007A3904" w:rsidP="00D26614">
      <w:pPr>
        <w:numPr>
          <w:ilvl w:val="0"/>
          <w:numId w:val="5"/>
        </w:numPr>
        <w:spacing w:after="299" w:line="221" w:lineRule="auto"/>
        <w:ind w:right="48" w:firstLine="0"/>
      </w:pPr>
      <w:r w:rsidRPr="007A3904">
        <w:t>Višak prihoda od donacija u iznosu od 4.023,29 eura utroš</w:t>
      </w:r>
      <w:r w:rsidR="00CD5B62">
        <w:t xml:space="preserve">en je </w:t>
      </w:r>
      <w:r w:rsidRPr="007A3904">
        <w:t xml:space="preserve"> za potrebe školskog sportskog društva O.Š. Bogumila Tonija , sukladno iskazanim potrebama sportskog društva te za stručno usavršavanje profesora TZK.</w:t>
      </w:r>
    </w:p>
    <w:p w:rsidR="00D26614" w:rsidRDefault="00D26614" w:rsidP="00CA328E">
      <w:pPr>
        <w:spacing w:after="209"/>
        <w:ind w:left="0" w:firstLine="0"/>
        <w:rPr>
          <w:color w:val="auto"/>
        </w:rPr>
      </w:pPr>
    </w:p>
    <w:p w:rsidR="00D26614" w:rsidRDefault="00D26614" w:rsidP="00CA328E">
      <w:pPr>
        <w:spacing w:after="209"/>
        <w:ind w:left="0" w:firstLine="0"/>
        <w:rPr>
          <w:color w:val="auto"/>
        </w:rPr>
      </w:pPr>
    </w:p>
    <w:p w:rsidR="00A61677" w:rsidRPr="00536271" w:rsidRDefault="00536271" w:rsidP="00CA328E">
      <w:pPr>
        <w:spacing w:after="209"/>
        <w:ind w:left="0" w:firstLine="0"/>
        <w:rPr>
          <w:color w:val="auto"/>
        </w:rPr>
      </w:pPr>
      <w:r w:rsidRPr="00536271">
        <w:rPr>
          <w:color w:val="auto"/>
        </w:rPr>
        <w:t>Izvršenje</w:t>
      </w:r>
      <w:r w:rsidR="00D26614">
        <w:rPr>
          <w:color w:val="auto"/>
        </w:rPr>
        <w:t xml:space="preserve"> </w:t>
      </w:r>
      <w:r w:rsidRPr="00536271">
        <w:rPr>
          <w:color w:val="auto"/>
        </w:rPr>
        <w:t xml:space="preserve"> je višak</w:t>
      </w:r>
      <w:r w:rsidR="00D26614">
        <w:rPr>
          <w:color w:val="auto"/>
        </w:rPr>
        <w:t>a prihoda u 2023.g. je</w:t>
      </w:r>
      <w:r w:rsidRPr="00536271">
        <w:rPr>
          <w:color w:val="auto"/>
        </w:rPr>
        <w:t xml:space="preserve"> </w:t>
      </w:r>
      <w:r w:rsidRPr="002948A4">
        <w:rPr>
          <w:b/>
          <w:color w:val="auto"/>
        </w:rPr>
        <w:t>16.717,83 €.</w:t>
      </w:r>
      <w:r w:rsidRPr="00536271">
        <w:rPr>
          <w:color w:val="auto"/>
        </w:rPr>
        <w:t xml:space="preserve"> </w:t>
      </w:r>
    </w:p>
    <w:p w:rsidR="00106C21" w:rsidRPr="00106C21" w:rsidRDefault="00106C21" w:rsidP="00106C21">
      <w:pPr>
        <w:spacing w:after="0" w:line="240" w:lineRule="auto"/>
        <w:ind w:left="0" w:right="-7" w:firstLine="0"/>
        <w:jc w:val="both"/>
        <w:rPr>
          <w:rFonts w:eastAsia="Times New Roman" w:cs="Times New Roman"/>
          <w:b/>
          <w:bCs/>
          <w:szCs w:val="24"/>
          <w:lang w:val="pl-PL"/>
        </w:rPr>
      </w:pPr>
      <w:r w:rsidRPr="00106C21">
        <w:rPr>
          <w:rFonts w:eastAsia="Times New Roman" w:cs="Times New Roman"/>
          <w:sz w:val="22"/>
          <w:lang w:val="pl-PL"/>
        </w:rPr>
        <w:t xml:space="preserve">Šifra 9221 – ostvaren je višak poslovanja u iznosu od </w:t>
      </w:r>
      <w:r w:rsidRPr="00106C21">
        <w:rPr>
          <w:rFonts w:eastAsia="Times New Roman" w:cs="Times New Roman"/>
          <w:b/>
          <w:bCs/>
          <w:szCs w:val="24"/>
          <w:lang w:val="pl-PL"/>
        </w:rPr>
        <w:t>18.580,17 €.</w:t>
      </w:r>
    </w:p>
    <w:p w:rsidR="00106C21" w:rsidRPr="00106C21" w:rsidRDefault="00106C21" w:rsidP="00106C21">
      <w:pPr>
        <w:spacing w:after="0" w:line="240" w:lineRule="auto"/>
        <w:ind w:left="0" w:right="-7" w:firstLine="0"/>
        <w:jc w:val="both"/>
        <w:rPr>
          <w:rFonts w:eastAsia="Times New Roman" w:cs="Times New Roman"/>
          <w:b/>
          <w:bCs/>
          <w:sz w:val="22"/>
          <w:u w:val="single"/>
          <w:lang w:val="pl-PL"/>
        </w:rPr>
      </w:pPr>
      <w:r w:rsidRPr="00106C21">
        <w:rPr>
          <w:rFonts w:eastAsia="Times New Roman" w:cs="Times New Roman"/>
          <w:bCs/>
          <w:sz w:val="22"/>
          <w:u w:val="single"/>
          <w:lang w:val="pl-PL"/>
        </w:rPr>
        <w:t xml:space="preserve">Šifra 9222 -  ostvaren je manjak od nefinancijske imovine </w:t>
      </w:r>
      <w:r w:rsidRPr="00106C21">
        <w:rPr>
          <w:rFonts w:eastAsia="Times New Roman" w:cs="Times New Roman"/>
          <w:b/>
          <w:bCs/>
          <w:sz w:val="22"/>
          <w:u w:val="single"/>
          <w:lang w:val="pl-PL"/>
        </w:rPr>
        <w:t>1.862,34 €.</w:t>
      </w:r>
    </w:p>
    <w:p w:rsidR="00106C21" w:rsidRPr="00106C21" w:rsidRDefault="00106C21" w:rsidP="00106C21">
      <w:pPr>
        <w:spacing w:after="0" w:line="240" w:lineRule="auto"/>
        <w:ind w:left="0" w:right="-7" w:firstLine="0"/>
        <w:jc w:val="both"/>
        <w:rPr>
          <w:rFonts w:eastAsia="Times New Roman" w:cs="Times New Roman"/>
          <w:bCs/>
          <w:sz w:val="22"/>
          <w:lang w:val="pl-PL"/>
        </w:rPr>
      </w:pPr>
      <w:r w:rsidRPr="00106C21">
        <w:rPr>
          <w:rFonts w:eastAsia="Times New Roman" w:cs="Times New Roman"/>
          <w:bCs/>
          <w:sz w:val="22"/>
          <w:lang w:val="pl-PL"/>
        </w:rPr>
        <w:t xml:space="preserve">                 Ukupan  višak poslovanja je </w:t>
      </w:r>
      <w:r w:rsidRPr="00106C21">
        <w:rPr>
          <w:rFonts w:eastAsia="Times New Roman" w:cs="Times New Roman"/>
          <w:b/>
          <w:bCs/>
          <w:sz w:val="22"/>
          <w:lang w:val="pl-PL"/>
        </w:rPr>
        <w:t>16.717,83 €</w:t>
      </w:r>
    </w:p>
    <w:p w:rsidR="00106C21" w:rsidRPr="00106C21" w:rsidRDefault="00106C21" w:rsidP="00106C21">
      <w:pPr>
        <w:spacing w:after="0" w:line="240" w:lineRule="auto"/>
        <w:ind w:left="0" w:right="-7" w:firstLine="0"/>
        <w:jc w:val="both"/>
        <w:rPr>
          <w:rFonts w:eastAsia="Times New Roman" w:cs="Times New Roman"/>
          <w:sz w:val="22"/>
          <w:lang w:val="pl-PL"/>
        </w:rPr>
      </w:pPr>
    </w:p>
    <w:p w:rsidR="00106C21" w:rsidRPr="00106C21" w:rsidRDefault="00106C21" w:rsidP="00106C21">
      <w:pPr>
        <w:spacing w:after="0" w:line="240" w:lineRule="auto"/>
        <w:ind w:left="0" w:right="-7" w:firstLine="0"/>
        <w:jc w:val="both"/>
        <w:rPr>
          <w:rFonts w:eastAsia="Times New Roman" w:cs="Times New Roman"/>
          <w:sz w:val="22"/>
          <w:lang w:val="pl-PL"/>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7961AD" w:rsidRDefault="007961AD">
      <w:pPr>
        <w:spacing w:after="209"/>
        <w:ind w:left="0" w:firstLine="0"/>
        <w:rPr>
          <w:szCs w:val="24"/>
        </w:rPr>
      </w:pPr>
    </w:p>
    <w:p w:rsidR="003042D1" w:rsidRPr="00FB6ED0" w:rsidRDefault="00C20769">
      <w:pPr>
        <w:spacing w:after="209"/>
        <w:ind w:left="0" w:firstLine="0"/>
        <w:rPr>
          <w:szCs w:val="24"/>
        </w:rPr>
      </w:pPr>
      <w:r w:rsidRPr="00FB6ED0">
        <w:rPr>
          <w:szCs w:val="24"/>
        </w:rPr>
        <w:lastRenderedPageBreak/>
        <w:t xml:space="preserve">  </w:t>
      </w:r>
    </w:p>
    <w:p w:rsidR="00FB6ED0" w:rsidRPr="007961AD" w:rsidRDefault="00FB6ED0" w:rsidP="007961AD">
      <w:pPr>
        <w:spacing w:after="0" w:line="240" w:lineRule="auto"/>
        <w:ind w:left="1276" w:firstLine="0"/>
        <w:jc w:val="center"/>
        <w:rPr>
          <w:rFonts w:ascii="Minion Pro" w:hAnsi="Minion Pro"/>
          <w:b/>
          <w:sz w:val="22"/>
        </w:rPr>
      </w:pPr>
      <w:r w:rsidRPr="007961AD">
        <w:rPr>
          <w:rFonts w:ascii="Minion Pro" w:hAnsi="Minion Pro"/>
          <w:b/>
          <w:sz w:val="22"/>
        </w:rPr>
        <w:t>POSEBNI IZVJEŠTAJI U GODIŠNJEM IZVJEŠTAJU O IZVRŠENJU FINANCIJSKOG PLANA</w:t>
      </w:r>
    </w:p>
    <w:p w:rsidR="00FB6ED0" w:rsidRPr="00FB6ED0" w:rsidRDefault="00FB6ED0" w:rsidP="00FB6ED0">
      <w:pPr>
        <w:jc w:val="center"/>
        <w:rPr>
          <w:rFonts w:ascii="Minion Pro" w:hAnsi="Minion Pro"/>
          <w:b/>
          <w:sz w:val="22"/>
        </w:rPr>
      </w:pPr>
    </w:p>
    <w:p w:rsidR="002948A4" w:rsidRDefault="004856DF" w:rsidP="00FB6ED0">
      <w:pPr>
        <w:jc w:val="center"/>
        <w:rPr>
          <w:rFonts w:ascii="Minion Pro" w:hAnsi="Minion Pro"/>
          <w:b/>
        </w:rPr>
      </w:pPr>
      <w:r>
        <w:rPr>
          <w:rFonts w:ascii="Minion Pro" w:hAnsi="Minion Pro"/>
          <w:b/>
        </w:rPr>
        <w:t>Izvještaj o korištenju sredstava fondova Europske unije</w:t>
      </w:r>
    </w:p>
    <w:p w:rsidR="004856DF" w:rsidRPr="00E92909" w:rsidRDefault="004856DF" w:rsidP="00FB6ED0">
      <w:pPr>
        <w:jc w:val="center"/>
        <w:rPr>
          <w:rFonts w:ascii="Minion Pro" w:hAnsi="Minion Pro"/>
        </w:rPr>
      </w:pPr>
      <w:r w:rsidRPr="00E92909">
        <w:rPr>
          <w:rFonts w:ascii="Minion Pro" w:hAnsi="Minion Pro"/>
        </w:rPr>
        <w:t xml:space="preserve">Planirano je za </w:t>
      </w:r>
      <w:proofErr w:type="spellStart"/>
      <w:r w:rsidR="00830B08">
        <w:rPr>
          <w:rFonts w:ascii="Minion Pro" w:hAnsi="Minion Pro"/>
        </w:rPr>
        <w:t>E</w:t>
      </w:r>
      <w:r w:rsidRPr="00E92909">
        <w:rPr>
          <w:rFonts w:ascii="Minion Pro" w:hAnsi="Minion Pro"/>
        </w:rPr>
        <w:t>rasmus</w:t>
      </w:r>
      <w:proofErr w:type="spellEnd"/>
      <w:r w:rsidRPr="00E92909">
        <w:rPr>
          <w:rFonts w:ascii="Minion Pro" w:hAnsi="Minion Pro"/>
        </w:rPr>
        <w:t xml:space="preserve">+ projekt mobilnost pojedinaca , </w:t>
      </w:r>
      <w:proofErr w:type="spellStart"/>
      <w:r w:rsidRPr="00E92909">
        <w:rPr>
          <w:rFonts w:ascii="Minion Pro" w:hAnsi="Minion Pro"/>
        </w:rPr>
        <w:t>tj</w:t>
      </w:r>
      <w:proofErr w:type="spellEnd"/>
      <w:r w:rsidRPr="00E92909">
        <w:rPr>
          <w:rFonts w:ascii="Minion Pro" w:hAnsi="Minion Pro"/>
        </w:rPr>
        <w:t xml:space="preserve"> stručno usavršavanje profesora</w:t>
      </w:r>
      <w:r w:rsidR="00B0106D" w:rsidRPr="00E92909">
        <w:rPr>
          <w:rFonts w:ascii="Minion Pro" w:hAnsi="Minion Pro"/>
        </w:rPr>
        <w:t xml:space="preserve"> planiran</w:t>
      </w:r>
      <w:r w:rsidRPr="00E92909">
        <w:rPr>
          <w:rFonts w:ascii="Minion Pro" w:hAnsi="Minion Pro"/>
        </w:rPr>
        <w:t xml:space="preserve"> iznos od 18.300,00 €, </w:t>
      </w:r>
      <w:r w:rsidR="00AD39AA" w:rsidRPr="00E92909">
        <w:rPr>
          <w:rFonts w:ascii="Minion Pro" w:hAnsi="Minion Pro"/>
        </w:rPr>
        <w:t xml:space="preserve">izvršenje plana je 18.248,80 € </w:t>
      </w:r>
      <w:r w:rsidRPr="00E92909">
        <w:rPr>
          <w:rFonts w:ascii="Minion Pro" w:hAnsi="Minion Pro"/>
        </w:rPr>
        <w:t xml:space="preserve">sredstva su prihodovana ali nije bilo korištenja sredstava u 2023.g. </w:t>
      </w:r>
    </w:p>
    <w:p w:rsidR="00D16F20" w:rsidRDefault="00D16F20" w:rsidP="00FB6ED0">
      <w:pPr>
        <w:jc w:val="center"/>
        <w:rPr>
          <w:rFonts w:ascii="Minion Pro" w:hAnsi="Minion Pro"/>
          <w:b/>
        </w:rPr>
      </w:pPr>
      <w:bookmarkStart w:id="0" w:name="_GoBack"/>
      <w:bookmarkEnd w:id="0"/>
    </w:p>
    <w:p w:rsidR="00D16F20" w:rsidRDefault="00D16F20" w:rsidP="00FB6ED0">
      <w:pPr>
        <w:jc w:val="center"/>
        <w:rPr>
          <w:rFonts w:ascii="Minion Pro" w:hAnsi="Minion Pro"/>
          <w:b/>
        </w:rPr>
      </w:pPr>
      <w:r>
        <w:rPr>
          <w:rFonts w:ascii="Minion Pro" w:hAnsi="Minion Pro"/>
          <w:b/>
        </w:rPr>
        <w:t>Izvještaj o sudskim sporovima u 2023.g.</w:t>
      </w:r>
    </w:p>
    <w:p w:rsidR="00B478EE" w:rsidRPr="00E92909" w:rsidRDefault="001A6EED" w:rsidP="00FB6ED0">
      <w:pPr>
        <w:jc w:val="center"/>
        <w:rPr>
          <w:rFonts w:ascii="Minion Pro" w:hAnsi="Minion Pro"/>
        </w:rPr>
      </w:pPr>
      <w:r w:rsidRPr="00E92909">
        <w:rPr>
          <w:rFonts w:ascii="Minion Pro" w:hAnsi="Minion Pro"/>
        </w:rPr>
        <w:t>Planirano je za isplatu po sudskim troškovima</w:t>
      </w:r>
      <w:r w:rsidR="00B478EE" w:rsidRPr="00E92909">
        <w:rPr>
          <w:rFonts w:ascii="Minion Pro" w:hAnsi="Minion Pro"/>
        </w:rPr>
        <w:t xml:space="preserve"> za naknade plaća djelatnika</w:t>
      </w:r>
      <w:r w:rsidR="003240B8" w:rsidRPr="00E92909">
        <w:rPr>
          <w:rFonts w:ascii="Minion Pro" w:hAnsi="Minion Pro"/>
        </w:rPr>
        <w:t xml:space="preserve"> u 2023g. </w:t>
      </w:r>
      <w:r w:rsidRPr="00E92909">
        <w:rPr>
          <w:rFonts w:ascii="Minion Pro" w:hAnsi="Minion Pro"/>
        </w:rPr>
        <w:t xml:space="preserve"> </w:t>
      </w:r>
      <w:r w:rsidR="003240B8" w:rsidRPr="00E92909">
        <w:rPr>
          <w:rFonts w:ascii="Minion Pro" w:hAnsi="Minion Pro"/>
        </w:rPr>
        <w:t>10.000,00 € a izvršeno je 8.961,07 €.</w:t>
      </w:r>
      <w:r w:rsidR="00B478EE" w:rsidRPr="00E92909">
        <w:rPr>
          <w:rFonts w:ascii="Minion Pro" w:hAnsi="Minion Pro"/>
        </w:rPr>
        <w:t xml:space="preserve"> Sudski sporovi za naknade plaće djelatnika su završeni u 2023.g.</w:t>
      </w:r>
    </w:p>
    <w:p w:rsidR="00E92909" w:rsidRPr="00E92909" w:rsidRDefault="00E92909" w:rsidP="00FB6ED0">
      <w:pPr>
        <w:jc w:val="center"/>
        <w:rPr>
          <w:rFonts w:ascii="Minion Pro" w:hAnsi="Minion Pro"/>
        </w:rPr>
      </w:pPr>
      <w:r w:rsidRPr="00E92909">
        <w:rPr>
          <w:rFonts w:ascii="Minion Pro" w:hAnsi="Minion Pro"/>
        </w:rPr>
        <w:t xml:space="preserve">U toku je još jedan sudski spor Općinski sud u Novom </w:t>
      </w:r>
      <w:r>
        <w:rPr>
          <w:rFonts w:ascii="Minion Pro" w:hAnsi="Minion Pro"/>
        </w:rPr>
        <w:t>Z</w:t>
      </w:r>
      <w:r w:rsidRPr="00E92909">
        <w:rPr>
          <w:rFonts w:ascii="Minion Pro" w:hAnsi="Minion Pro"/>
        </w:rPr>
        <w:t>agrebu, tužba za ometanje posjeda sa T.B. u iznosu od 50.000,00 €.</w:t>
      </w:r>
    </w:p>
    <w:p w:rsidR="00E92909" w:rsidRDefault="00E92909" w:rsidP="00FB6ED0">
      <w:pPr>
        <w:jc w:val="center"/>
        <w:rPr>
          <w:rFonts w:ascii="Minion Pro" w:hAnsi="Minion Pro"/>
          <w:b/>
        </w:rPr>
      </w:pPr>
    </w:p>
    <w:p w:rsidR="00D16F20" w:rsidRDefault="00D16F20" w:rsidP="00FB6ED0">
      <w:pPr>
        <w:jc w:val="center"/>
        <w:rPr>
          <w:rFonts w:ascii="Minion Pro" w:hAnsi="Minion Pro"/>
          <w:b/>
        </w:rPr>
      </w:pPr>
    </w:p>
    <w:p w:rsidR="00D16F20" w:rsidRDefault="00D16F20" w:rsidP="00FB6ED0">
      <w:pPr>
        <w:jc w:val="center"/>
        <w:rPr>
          <w:rFonts w:ascii="Minion Pro" w:hAnsi="Minion Pro"/>
          <w:b/>
        </w:rPr>
      </w:pPr>
    </w:p>
    <w:p w:rsidR="003042D1" w:rsidRDefault="00C20769">
      <w:pPr>
        <w:spacing w:after="210"/>
        <w:ind w:left="67" w:firstLine="0"/>
        <w:jc w:val="center"/>
      </w:pPr>
      <w:r>
        <w:rPr>
          <w:b/>
        </w:rPr>
        <w:t xml:space="preserve"> </w:t>
      </w:r>
    </w:p>
    <w:p w:rsidR="003042D1" w:rsidRDefault="00C20769">
      <w:pPr>
        <w:spacing w:after="212"/>
        <w:ind w:left="67" w:firstLine="0"/>
        <w:jc w:val="center"/>
      </w:pPr>
      <w:r>
        <w:rPr>
          <w:b/>
        </w:rPr>
        <w:t xml:space="preserve"> </w:t>
      </w:r>
    </w:p>
    <w:p w:rsidR="003042D1" w:rsidRDefault="00C20769">
      <w:pPr>
        <w:spacing w:after="209"/>
        <w:ind w:left="0" w:firstLine="0"/>
      </w:pPr>
      <w:r>
        <w:rPr>
          <w:b/>
        </w:rPr>
        <w:t xml:space="preserve"> </w:t>
      </w:r>
    </w:p>
    <w:p w:rsidR="003042D1" w:rsidRDefault="00C20769">
      <w:pPr>
        <w:spacing w:after="209"/>
        <w:ind w:left="3351" w:firstLine="0"/>
        <w:jc w:val="center"/>
      </w:pPr>
      <w:r>
        <w:rPr>
          <w:b/>
        </w:rPr>
        <w:t xml:space="preserve"> </w:t>
      </w:r>
    </w:p>
    <w:p w:rsidR="003042D1" w:rsidRDefault="00C20769">
      <w:pPr>
        <w:spacing w:after="0"/>
        <w:ind w:left="0" w:firstLine="0"/>
      </w:pPr>
      <w:r>
        <w:rPr>
          <w:b/>
        </w:rPr>
        <w:t xml:space="preserve"> </w:t>
      </w:r>
    </w:p>
    <w:sectPr w:rsidR="003042D1">
      <w:pgSz w:w="11906" w:h="16838"/>
      <w:pgMar w:top="1464" w:right="1430" w:bottom="142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3pt;visibility:visible;mso-wrap-style:square" o:bullet="t">
        <v:imagedata r:id="rId1" o:title=""/>
      </v:shape>
    </w:pict>
  </w:numPicBullet>
  <w:abstractNum w:abstractNumId="0" w15:restartNumberingAfterBreak="0">
    <w:nsid w:val="29EB5CB3"/>
    <w:multiLevelType w:val="hybridMultilevel"/>
    <w:tmpl w:val="ADC6049C"/>
    <w:lvl w:ilvl="0" w:tplc="041A000F">
      <w:start w:val="3"/>
      <w:numFmt w:val="decimal"/>
      <w:lvlText w:val="%1."/>
      <w:lvlJc w:val="left"/>
      <w:pPr>
        <w:ind w:left="1636" w:hanging="360"/>
      </w:pPr>
      <w:rPr>
        <w:rFonts w:hint="default"/>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 w15:restartNumberingAfterBreak="0">
    <w:nsid w:val="416E5A78"/>
    <w:multiLevelType w:val="hybridMultilevel"/>
    <w:tmpl w:val="EBBE66AA"/>
    <w:lvl w:ilvl="0" w:tplc="F16EB1FC">
      <w:start w:val="1"/>
      <w:numFmt w:val="bullet"/>
      <w:lvlText w:val="-"/>
      <w:lvlJc w:val="left"/>
      <w:pPr>
        <w:ind w:left="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04450E">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E83728">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568520">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0C7CF2">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AE0A52">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CEFC32">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6AFACE">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1270C6">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D818F0"/>
    <w:multiLevelType w:val="hybridMultilevel"/>
    <w:tmpl w:val="A51EDBA8"/>
    <w:lvl w:ilvl="0" w:tplc="7B20EB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EDABC">
      <w:start w:val="1"/>
      <w:numFmt w:val="lowerLetter"/>
      <w:lvlText w:val="%2"/>
      <w:lvlJc w:val="left"/>
      <w:pPr>
        <w:ind w:left="1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F2CE3A">
      <w:start w:val="1"/>
      <w:numFmt w:val="lowerRoman"/>
      <w:lvlText w:val="%3"/>
      <w:lvlJc w:val="left"/>
      <w:pPr>
        <w:ind w:left="1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B8A508">
      <w:start w:val="1"/>
      <w:numFmt w:val="decimal"/>
      <w:lvlText w:val="%4"/>
      <w:lvlJc w:val="left"/>
      <w:pPr>
        <w:ind w:left="2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54CD3A">
      <w:start w:val="1"/>
      <w:numFmt w:val="lowerLetter"/>
      <w:lvlText w:val="%5"/>
      <w:lvlJc w:val="left"/>
      <w:pPr>
        <w:ind w:left="3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F832AA">
      <w:start w:val="1"/>
      <w:numFmt w:val="lowerRoman"/>
      <w:lvlText w:val="%6"/>
      <w:lvlJc w:val="left"/>
      <w:pPr>
        <w:ind w:left="4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C29DF8">
      <w:start w:val="1"/>
      <w:numFmt w:val="decimal"/>
      <w:lvlText w:val="%7"/>
      <w:lvlJc w:val="left"/>
      <w:pPr>
        <w:ind w:left="4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5A5086">
      <w:start w:val="1"/>
      <w:numFmt w:val="lowerLetter"/>
      <w:lvlText w:val="%8"/>
      <w:lvlJc w:val="left"/>
      <w:pPr>
        <w:ind w:left="5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D8AEEA">
      <w:start w:val="1"/>
      <w:numFmt w:val="lowerRoman"/>
      <w:lvlText w:val="%9"/>
      <w:lvlJc w:val="left"/>
      <w:pPr>
        <w:ind w:left="6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3A30A5"/>
    <w:multiLevelType w:val="hybridMultilevel"/>
    <w:tmpl w:val="F3BC0E4E"/>
    <w:lvl w:ilvl="0" w:tplc="07965AC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CCD64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B8B7A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4636D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62D1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3E1C7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8834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EE0F8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464E3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88446B"/>
    <w:multiLevelType w:val="hybridMultilevel"/>
    <w:tmpl w:val="010CA144"/>
    <w:lvl w:ilvl="0" w:tplc="3B0A8216">
      <w:start w:val="1"/>
      <w:numFmt w:val="bullet"/>
      <w:lvlText w:val=""/>
      <w:lvlPicBulletId w:val="0"/>
      <w:lvlJc w:val="left"/>
      <w:pPr>
        <w:tabs>
          <w:tab w:val="num" w:pos="720"/>
        </w:tabs>
        <w:ind w:left="720" w:hanging="360"/>
      </w:pPr>
      <w:rPr>
        <w:rFonts w:ascii="Symbol" w:hAnsi="Symbol" w:hint="default"/>
      </w:rPr>
    </w:lvl>
    <w:lvl w:ilvl="1" w:tplc="FCD4F94E" w:tentative="1">
      <w:start w:val="1"/>
      <w:numFmt w:val="bullet"/>
      <w:lvlText w:val=""/>
      <w:lvlJc w:val="left"/>
      <w:pPr>
        <w:tabs>
          <w:tab w:val="num" w:pos="1440"/>
        </w:tabs>
        <w:ind w:left="1440" w:hanging="360"/>
      </w:pPr>
      <w:rPr>
        <w:rFonts w:ascii="Symbol" w:hAnsi="Symbol" w:hint="default"/>
      </w:rPr>
    </w:lvl>
    <w:lvl w:ilvl="2" w:tplc="C0D8AF6C" w:tentative="1">
      <w:start w:val="1"/>
      <w:numFmt w:val="bullet"/>
      <w:lvlText w:val=""/>
      <w:lvlJc w:val="left"/>
      <w:pPr>
        <w:tabs>
          <w:tab w:val="num" w:pos="2160"/>
        </w:tabs>
        <w:ind w:left="2160" w:hanging="360"/>
      </w:pPr>
      <w:rPr>
        <w:rFonts w:ascii="Symbol" w:hAnsi="Symbol" w:hint="default"/>
      </w:rPr>
    </w:lvl>
    <w:lvl w:ilvl="3" w:tplc="76ECCB42" w:tentative="1">
      <w:start w:val="1"/>
      <w:numFmt w:val="bullet"/>
      <w:lvlText w:val=""/>
      <w:lvlJc w:val="left"/>
      <w:pPr>
        <w:tabs>
          <w:tab w:val="num" w:pos="2880"/>
        </w:tabs>
        <w:ind w:left="2880" w:hanging="360"/>
      </w:pPr>
      <w:rPr>
        <w:rFonts w:ascii="Symbol" w:hAnsi="Symbol" w:hint="default"/>
      </w:rPr>
    </w:lvl>
    <w:lvl w:ilvl="4" w:tplc="1FF8F1E0" w:tentative="1">
      <w:start w:val="1"/>
      <w:numFmt w:val="bullet"/>
      <w:lvlText w:val=""/>
      <w:lvlJc w:val="left"/>
      <w:pPr>
        <w:tabs>
          <w:tab w:val="num" w:pos="3600"/>
        </w:tabs>
        <w:ind w:left="3600" w:hanging="360"/>
      </w:pPr>
      <w:rPr>
        <w:rFonts w:ascii="Symbol" w:hAnsi="Symbol" w:hint="default"/>
      </w:rPr>
    </w:lvl>
    <w:lvl w:ilvl="5" w:tplc="CA56C530" w:tentative="1">
      <w:start w:val="1"/>
      <w:numFmt w:val="bullet"/>
      <w:lvlText w:val=""/>
      <w:lvlJc w:val="left"/>
      <w:pPr>
        <w:tabs>
          <w:tab w:val="num" w:pos="4320"/>
        </w:tabs>
        <w:ind w:left="4320" w:hanging="360"/>
      </w:pPr>
      <w:rPr>
        <w:rFonts w:ascii="Symbol" w:hAnsi="Symbol" w:hint="default"/>
      </w:rPr>
    </w:lvl>
    <w:lvl w:ilvl="6" w:tplc="7BDE5400" w:tentative="1">
      <w:start w:val="1"/>
      <w:numFmt w:val="bullet"/>
      <w:lvlText w:val=""/>
      <w:lvlJc w:val="left"/>
      <w:pPr>
        <w:tabs>
          <w:tab w:val="num" w:pos="5040"/>
        </w:tabs>
        <w:ind w:left="5040" w:hanging="360"/>
      </w:pPr>
      <w:rPr>
        <w:rFonts w:ascii="Symbol" w:hAnsi="Symbol" w:hint="default"/>
      </w:rPr>
    </w:lvl>
    <w:lvl w:ilvl="7" w:tplc="1E4CC6C2" w:tentative="1">
      <w:start w:val="1"/>
      <w:numFmt w:val="bullet"/>
      <w:lvlText w:val=""/>
      <w:lvlJc w:val="left"/>
      <w:pPr>
        <w:tabs>
          <w:tab w:val="num" w:pos="5760"/>
        </w:tabs>
        <w:ind w:left="5760" w:hanging="360"/>
      </w:pPr>
      <w:rPr>
        <w:rFonts w:ascii="Symbol" w:hAnsi="Symbol" w:hint="default"/>
      </w:rPr>
    </w:lvl>
    <w:lvl w:ilvl="8" w:tplc="A99EAE0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95E6EE5"/>
    <w:multiLevelType w:val="hybridMultilevel"/>
    <w:tmpl w:val="18A82A3A"/>
    <w:lvl w:ilvl="0" w:tplc="81646FBA">
      <w:start w:val="1"/>
      <w:numFmt w:val="bullet"/>
      <w:lvlText w:val="-"/>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B88E60">
      <w:start w:val="1"/>
      <w:numFmt w:val="bullet"/>
      <w:lvlText w:val="o"/>
      <w:lvlJc w:val="left"/>
      <w:pPr>
        <w:ind w:left="1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685322">
      <w:start w:val="1"/>
      <w:numFmt w:val="bullet"/>
      <w:lvlText w:val="▪"/>
      <w:lvlJc w:val="left"/>
      <w:pPr>
        <w:ind w:left="2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5AA622">
      <w:start w:val="1"/>
      <w:numFmt w:val="bullet"/>
      <w:lvlText w:val="•"/>
      <w:lvlJc w:val="left"/>
      <w:pPr>
        <w:ind w:left="2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AEDDD8">
      <w:start w:val="1"/>
      <w:numFmt w:val="bullet"/>
      <w:lvlText w:val="o"/>
      <w:lvlJc w:val="left"/>
      <w:pPr>
        <w:ind w:left="3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3C855C">
      <w:start w:val="1"/>
      <w:numFmt w:val="bullet"/>
      <w:lvlText w:val="▪"/>
      <w:lvlJc w:val="left"/>
      <w:pPr>
        <w:ind w:left="4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2293FC">
      <w:start w:val="1"/>
      <w:numFmt w:val="bullet"/>
      <w:lvlText w:val="•"/>
      <w:lvlJc w:val="left"/>
      <w:pPr>
        <w:ind w:left="4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B07C5A">
      <w:start w:val="1"/>
      <w:numFmt w:val="bullet"/>
      <w:lvlText w:val="o"/>
      <w:lvlJc w:val="left"/>
      <w:pPr>
        <w:ind w:left="5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6F438">
      <w:start w:val="1"/>
      <w:numFmt w:val="bullet"/>
      <w:lvlText w:val="▪"/>
      <w:lvlJc w:val="left"/>
      <w:pPr>
        <w:ind w:left="6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D1"/>
    <w:rsid w:val="000A2196"/>
    <w:rsid w:val="000E2B0E"/>
    <w:rsid w:val="00106C21"/>
    <w:rsid w:val="00114E66"/>
    <w:rsid w:val="00133CDD"/>
    <w:rsid w:val="00141DFB"/>
    <w:rsid w:val="00162CDA"/>
    <w:rsid w:val="001A6EED"/>
    <w:rsid w:val="001E2471"/>
    <w:rsid w:val="00222B14"/>
    <w:rsid w:val="0022518E"/>
    <w:rsid w:val="002948A4"/>
    <w:rsid w:val="003042D1"/>
    <w:rsid w:val="00317D86"/>
    <w:rsid w:val="003240B8"/>
    <w:rsid w:val="00327D1A"/>
    <w:rsid w:val="00381051"/>
    <w:rsid w:val="00390364"/>
    <w:rsid w:val="0040307C"/>
    <w:rsid w:val="004856DF"/>
    <w:rsid w:val="004E0155"/>
    <w:rsid w:val="00536271"/>
    <w:rsid w:val="00537A21"/>
    <w:rsid w:val="005552BE"/>
    <w:rsid w:val="00561EEC"/>
    <w:rsid w:val="005D6D40"/>
    <w:rsid w:val="006673E6"/>
    <w:rsid w:val="0068649D"/>
    <w:rsid w:val="006A3A1B"/>
    <w:rsid w:val="006E21A1"/>
    <w:rsid w:val="007373DA"/>
    <w:rsid w:val="00742D92"/>
    <w:rsid w:val="007749DB"/>
    <w:rsid w:val="007961AD"/>
    <w:rsid w:val="007A11F9"/>
    <w:rsid w:val="007A3904"/>
    <w:rsid w:val="007B0642"/>
    <w:rsid w:val="007C2CED"/>
    <w:rsid w:val="00804029"/>
    <w:rsid w:val="00811B36"/>
    <w:rsid w:val="00830B08"/>
    <w:rsid w:val="00834603"/>
    <w:rsid w:val="008A21CF"/>
    <w:rsid w:val="008B13B8"/>
    <w:rsid w:val="008F1326"/>
    <w:rsid w:val="009170B2"/>
    <w:rsid w:val="00990CAB"/>
    <w:rsid w:val="009D4C23"/>
    <w:rsid w:val="009E0DFC"/>
    <w:rsid w:val="009E3B65"/>
    <w:rsid w:val="00A61677"/>
    <w:rsid w:val="00A91609"/>
    <w:rsid w:val="00AA6854"/>
    <w:rsid w:val="00AD39AA"/>
    <w:rsid w:val="00B0106D"/>
    <w:rsid w:val="00B02954"/>
    <w:rsid w:val="00B4781F"/>
    <w:rsid w:val="00B478EE"/>
    <w:rsid w:val="00B72B9A"/>
    <w:rsid w:val="00BA14D9"/>
    <w:rsid w:val="00BA6854"/>
    <w:rsid w:val="00BD2413"/>
    <w:rsid w:val="00BE1E47"/>
    <w:rsid w:val="00C20769"/>
    <w:rsid w:val="00C37C63"/>
    <w:rsid w:val="00CA328E"/>
    <w:rsid w:val="00CD5B62"/>
    <w:rsid w:val="00D16F20"/>
    <w:rsid w:val="00D25CE0"/>
    <w:rsid w:val="00D26614"/>
    <w:rsid w:val="00D34EDE"/>
    <w:rsid w:val="00D652C2"/>
    <w:rsid w:val="00D81605"/>
    <w:rsid w:val="00DB3528"/>
    <w:rsid w:val="00DB6412"/>
    <w:rsid w:val="00DC7FE6"/>
    <w:rsid w:val="00E078AC"/>
    <w:rsid w:val="00E92909"/>
    <w:rsid w:val="00EE3CE3"/>
    <w:rsid w:val="00EF6446"/>
    <w:rsid w:val="00F20411"/>
    <w:rsid w:val="00FA29DE"/>
    <w:rsid w:val="00FA2F89"/>
    <w:rsid w:val="00FB6ED0"/>
    <w:rsid w:val="00FE51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C94C"/>
  <w15:docId w15:val="{5293398C-8AC2-453E-BC0A-0DBC941B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ind w:left="10" w:hanging="10"/>
    </w:pPr>
    <w:rPr>
      <w:rFonts w:ascii="Calibri" w:eastAsia="Calibri" w:hAnsi="Calibri" w:cs="Calibri"/>
      <w:color w:val="000000"/>
      <w:sz w:val="24"/>
    </w:rPr>
  </w:style>
  <w:style w:type="paragraph" w:styleId="Naslov1">
    <w:name w:val="heading 1"/>
    <w:next w:val="Normal"/>
    <w:link w:val="Naslov1Char"/>
    <w:uiPriority w:val="9"/>
    <w:qFormat/>
    <w:pPr>
      <w:keepNext/>
      <w:keepLines/>
      <w:spacing w:after="18"/>
      <w:outlineLvl w:val="0"/>
    </w:pPr>
    <w:rPr>
      <w:rFonts w:ascii="Times New Roman" w:eastAsia="Times New Roman" w:hAnsi="Times New Roman" w:cs="Times New Roman"/>
      <w:b/>
      <w:color w:val="000000"/>
      <w:sz w:val="28"/>
    </w:rPr>
  </w:style>
  <w:style w:type="paragraph" w:styleId="Naslov2">
    <w:name w:val="heading 2"/>
    <w:next w:val="Normal"/>
    <w:link w:val="Naslov2Char"/>
    <w:uiPriority w:val="9"/>
    <w:unhideWhenUsed/>
    <w:qFormat/>
    <w:pPr>
      <w:keepNext/>
      <w:keepLines/>
      <w:spacing w:after="210"/>
      <w:ind w:left="10" w:right="309" w:hanging="10"/>
      <w:jc w:val="center"/>
      <w:outlineLvl w:val="1"/>
    </w:pPr>
    <w:rPr>
      <w:rFonts w:ascii="Calibri" w:eastAsia="Calibri" w:hAnsi="Calibri" w:cs="Calibri"/>
      <w:b/>
      <w:color w:val="000000"/>
      <w:sz w:val="24"/>
    </w:rPr>
  </w:style>
  <w:style w:type="paragraph" w:styleId="Naslov3">
    <w:name w:val="heading 3"/>
    <w:next w:val="Normal"/>
    <w:link w:val="Naslov3Char"/>
    <w:uiPriority w:val="9"/>
    <w:unhideWhenUsed/>
    <w:qFormat/>
    <w:pPr>
      <w:keepNext/>
      <w:keepLines/>
      <w:spacing w:after="210"/>
      <w:ind w:left="10" w:right="309" w:hanging="10"/>
      <w:jc w:val="center"/>
      <w:outlineLvl w:val="2"/>
    </w:pPr>
    <w:rPr>
      <w:rFonts w:ascii="Calibri" w:eastAsia="Calibri" w:hAnsi="Calibri" w:cs="Calibri"/>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4"/>
    </w:rPr>
  </w:style>
  <w:style w:type="character" w:customStyle="1" w:styleId="Naslov1Char">
    <w:name w:val="Naslov 1 Char"/>
    <w:link w:val="Naslov1"/>
    <w:rPr>
      <w:rFonts w:ascii="Times New Roman" w:eastAsia="Times New Roman" w:hAnsi="Times New Roman" w:cs="Times New Roman"/>
      <w:b/>
      <w:color w:val="000000"/>
      <w:sz w:val="28"/>
    </w:rPr>
  </w:style>
  <w:style w:type="character" w:customStyle="1" w:styleId="Naslov3Char">
    <w:name w:val="Naslov 3 Char"/>
    <w:link w:val="Naslov3"/>
    <w:rPr>
      <w:rFonts w:ascii="Calibri" w:eastAsia="Calibri" w:hAnsi="Calibri" w:cs="Calibri"/>
      <w:b/>
      <w:color w:val="000000"/>
      <w:sz w:val="24"/>
    </w:rPr>
  </w:style>
  <w:style w:type="paragraph" w:styleId="Odlomakpopisa">
    <w:name w:val="List Paragraph"/>
    <w:basedOn w:val="Normal"/>
    <w:link w:val="OdlomakpopisaChar"/>
    <w:uiPriority w:val="34"/>
    <w:qFormat/>
    <w:rsid w:val="009E3B65"/>
    <w:pPr>
      <w:ind w:left="720"/>
      <w:contextualSpacing/>
    </w:pPr>
  </w:style>
  <w:style w:type="character" w:customStyle="1" w:styleId="OdlomakpopisaChar">
    <w:name w:val="Odlomak popisa Char"/>
    <w:basedOn w:val="Zadanifontodlomka"/>
    <w:link w:val="Odlomakpopisa"/>
    <w:uiPriority w:val="34"/>
    <w:locked/>
    <w:rsid w:val="00FB6ED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8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3C82-0EF0-4B90-A99C-12EE4F9E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571</Words>
  <Characters>3260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Mihelić</dc:creator>
  <cp:keywords/>
  <cp:lastModifiedBy>Ljiljana Mihelić</cp:lastModifiedBy>
  <cp:revision>62</cp:revision>
  <cp:lastPrinted>2023-05-22T15:30:00Z</cp:lastPrinted>
  <dcterms:created xsi:type="dcterms:W3CDTF">2023-05-21T18:35:00Z</dcterms:created>
  <dcterms:modified xsi:type="dcterms:W3CDTF">2024-03-26T10:44:00Z</dcterms:modified>
</cp:coreProperties>
</file>